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3571E" w14:textId="285B035D" w:rsidR="00D8408C" w:rsidRPr="00D8408C" w:rsidRDefault="00D8408C" w:rsidP="00D8408C">
      <w:pPr>
        <w:spacing w:line="800" w:lineRule="exact"/>
        <w:jc w:val="center"/>
        <w:rPr>
          <w:rFonts w:ascii="微軟正黑體" w:eastAsia="微軟正黑體" w:hAnsi="微軟正黑體"/>
          <w:b/>
          <w:bCs/>
          <w:sz w:val="52"/>
          <w:szCs w:val="52"/>
        </w:rPr>
      </w:pPr>
      <w:r w:rsidRPr="00D8408C">
        <w:rPr>
          <w:rFonts w:ascii="微軟正黑體" w:eastAsia="微軟正黑體" w:hAnsi="微軟正黑體" w:hint="eastAsia"/>
          <w:b/>
          <w:bCs/>
          <w:sz w:val="52"/>
          <w:szCs w:val="52"/>
        </w:rPr>
        <w:t>聲明書</w:t>
      </w:r>
    </w:p>
    <w:p w14:paraId="469CD250" w14:textId="74AAC7FE" w:rsidR="00D8408C" w:rsidRDefault="00D8408C" w:rsidP="00D8408C"/>
    <w:p w14:paraId="56C761D8" w14:textId="35D2D693" w:rsidR="00D8408C" w:rsidRDefault="00D8408C" w:rsidP="00D8408C">
      <w:pPr>
        <w:ind w:firstLineChars="200" w:firstLine="880"/>
        <w:rPr>
          <w:rFonts w:ascii="微軟正黑體" w:eastAsia="微軟正黑體" w:hAnsi="微軟正黑體"/>
          <w:sz w:val="44"/>
          <w:szCs w:val="44"/>
        </w:rPr>
      </w:pPr>
      <w:r w:rsidRPr="00D8408C">
        <w:rPr>
          <w:rFonts w:ascii="微軟正黑體" w:eastAsia="微軟正黑體" w:hAnsi="微軟正黑體" w:hint="eastAsia"/>
          <w:sz w:val="44"/>
          <w:szCs w:val="44"/>
        </w:rPr>
        <w:t>本廠商非屬公職人員利益衝突迴避法第2條及第3條所稱公職人員或其關係人。</w:t>
      </w:r>
    </w:p>
    <w:p w14:paraId="747EA023" w14:textId="38D25DA5" w:rsidR="00403EB7" w:rsidRDefault="00403EB7" w:rsidP="00D8408C">
      <w:pPr>
        <w:ind w:firstLineChars="200" w:firstLine="880"/>
        <w:rPr>
          <w:rFonts w:ascii="微軟正黑體" w:eastAsia="微軟正黑體" w:hAnsi="微軟正黑體"/>
          <w:sz w:val="44"/>
          <w:szCs w:val="44"/>
        </w:rPr>
      </w:pPr>
    </w:p>
    <w:p w14:paraId="795F5163" w14:textId="7D4916B6" w:rsidR="00403EB7"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 xml:space="preserve">此致 </w:t>
      </w:r>
    </w:p>
    <w:p w14:paraId="77F92E36" w14:textId="7B4CC34F" w:rsidR="00D80836" w:rsidRDefault="00D80836" w:rsidP="00D80836">
      <w:pPr>
        <w:rPr>
          <w:rFonts w:ascii="微軟正黑體" w:eastAsia="微軟正黑體" w:hAnsi="微軟正黑體"/>
          <w:sz w:val="44"/>
          <w:szCs w:val="44"/>
        </w:rPr>
      </w:pPr>
      <w:r>
        <w:rPr>
          <w:rFonts w:ascii="微軟正黑體" w:eastAsia="微軟正黑體" w:hAnsi="微軟正黑體" w:hint="eastAsia"/>
          <w:sz w:val="44"/>
          <w:szCs w:val="44"/>
        </w:rPr>
        <w:t>高雄流行音樂中心</w:t>
      </w:r>
    </w:p>
    <w:p w14:paraId="4AED98EC" w14:textId="6898C67F" w:rsidR="00D80836" w:rsidRDefault="00D80836" w:rsidP="00D80836">
      <w:pPr>
        <w:rPr>
          <w:rFonts w:ascii="微軟正黑體" w:eastAsia="微軟正黑體" w:hAnsi="微軟正黑體"/>
          <w:sz w:val="44"/>
          <w:szCs w:val="44"/>
        </w:rPr>
      </w:pPr>
    </w:p>
    <w:p w14:paraId="4803DA2A" w14:textId="528C9258" w:rsidR="00D80836" w:rsidRDefault="00D80836" w:rsidP="00D80836">
      <w:pPr>
        <w:rPr>
          <w:rFonts w:ascii="微軟正黑體" w:eastAsia="微軟正黑體" w:hAnsi="微軟正黑體"/>
          <w:sz w:val="44"/>
          <w:szCs w:val="44"/>
        </w:rPr>
      </w:pPr>
    </w:p>
    <w:p w14:paraId="492DB0BB" w14:textId="67F9E076"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立</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書</w:t>
      </w:r>
      <w:r>
        <w:rPr>
          <w:rFonts w:ascii="微軟正黑體" w:eastAsia="微軟正黑體" w:hAnsi="微軟正黑體" w:hint="eastAsia"/>
          <w:sz w:val="36"/>
          <w:szCs w:val="36"/>
        </w:rPr>
        <w:t xml:space="preserve"> </w:t>
      </w:r>
      <w:r w:rsidRPr="00D80836">
        <w:rPr>
          <w:rFonts w:ascii="微軟正黑體" w:eastAsia="微軟正黑體" w:hAnsi="微軟正黑體" w:hint="eastAsia"/>
          <w:sz w:val="36"/>
          <w:szCs w:val="36"/>
        </w:rPr>
        <w:t>人</w:t>
      </w:r>
      <w:r>
        <w:rPr>
          <w:rFonts w:ascii="微軟正黑體" w:eastAsia="微軟正黑體" w:hAnsi="微軟正黑體" w:hint="eastAsia"/>
          <w:sz w:val="36"/>
          <w:szCs w:val="36"/>
        </w:rPr>
        <w:t>：</w:t>
      </w:r>
      <w:r w:rsidR="009938F2">
        <w:rPr>
          <w:rFonts w:ascii="微軟正黑體" w:eastAsia="微軟正黑體" w:hAnsi="微軟正黑體" w:hint="eastAsia"/>
          <w:b/>
          <w:bCs/>
          <w:sz w:val="36"/>
          <w:szCs w:val="36"/>
        </w:rPr>
        <w:t xml:space="preserve"> </w:t>
      </w:r>
      <w:r w:rsidR="00785667">
        <w:rPr>
          <w:rFonts w:ascii="微軟正黑體" w:eastAsia="微軟正黑體" w:hAnsi="微軟正黑體" w:hint="eastAsia"/>
          <w:b/>
          <w:bCs/>
          <w:sz w:val="36"/>
          <w:szCs w:val="36"/>
        </w:rPr>
        <w:t>為公司名稱</w:t>
      </w:r>
      <w:r w:rsidR="009938F2">
        <w:rPr>
          <w:rFonts w:ascii="微軟正黑體" w:eastAsia="微軟正黑體" w:hAnsi="微軟正黑體" w:hint="eastAsia"/>
          <w:b/>
          <w:bCs/>
          <w:sz w:val="36"/>
          <w:szCs w:val="36"/>
        </w:rPr>
        <w:t xml:space="preserve"> </w:t>
      </w:r>
      <w:r w:rsidR="00342148">
        <w:rPr>
          <w:rFonts w:ascii="微軟正黑體" w:eastAsia="微軟正黑體" w:hAnsi="微軟正黑體" w:hint="eastAsia"/>
          <w:sz w:val="36"/>
          <w:szCs w:val="36"/>
        </w:rPr>
        <w:t xml:space="preserve"> </w:t>
      </w:r>
      <w:r w:rsidR="00F3412A" w:rsidRPr="00F3412A">
        <w:rPr>
          <w:rFonts w:ascii="微軟正黑體" w:eastAsia="微軟正黑體" w:hAnsi="微軟正黑體" w:hint="eastAsia"/>
          <w:sz w:val="28"/>
          <w:szCs w:val="28"/>
        </w:rPr>
        <w:t>（蓋章）</w:t>
      </w:r>
    </w:p>
    <w:p w14:paraId="4BA65D80" w14:textId="0B94E34C"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統一編號：</w:t>
      </w:r>
      <w:r w:rsidR="009938F2">
        <w:rPr>
          <w:rFonts w:ascii="微軟正黑體" w:eastAsia="微軟正黑體" w:hAnsi="微軟正黑體" w:hint="eastAsia"/>
          <w:sz w:val="36"/>
          <w:szCs w:val="36"/>
        </w:rPr>
        <w:t xml:space="preserve">  </w:t>
      </w:r>
    </w:p>
    <w:p w14:paraId="0E9548B4" w14:textId="66BA9388" w:rsidR="00D80836" w:rsidRPr="00D80836" w:rsidRDefault="00D80836" w:rsidP="007F2291">
      <w:pPr>
        <w:ind w:firstLineChars="826" w:firstLine="2974"/>
        <w:rPr>
          <w:rFonts w:ascii="微軟正黑體" w:eastAsia="微軟正黑體" w:hAnsi="微軟正黑體"/>
          <w:sz w:val="36"/>
          <w:szCs w:val="36"/>
        </w:rPr>
      </w:pPr>
      <w:r w:rsidRPr="00D80836">
        <w:rPr>
          <w:rFonts w:ascii="微軟正黑體" w:eastAsia="微軟正黑體" w:hAnsi="微軟正黑體" w:hint="eastAsia"/>
          <w:sz w:val="36"/>
          <w:szCs w:val="36"/>
        </w:rPr>
        <w:t xml:space="preserve">地 </w:t>
      </w:r>
      <w:r w:rsidRPr="00D80836">
        <w:rPr>
          <w:rFonts w:ascii="微軟正黑體" w:eastAsia="微軟正黑體" w:hAnsi="微軟正黑體"/>
          <w:sz w:val="36"/>
          <w:szCs w:val="36"/>
        </w:rPr>
        <w:t xml:space="preserve">   </w:t>
      </w:r>
      <w:r w:rsidRPr="00D80836">
        <w:rPr>
          <w:rFonts w:ascii="微軟正黑體" w:eastAsia="微軟正黑體" w:hAnsi="微軟正黑體" w:hint="eastAsia"/>
          <w:sz w:val="36"/>
          <w:szCs w:val="36"/>
        </w:rPr>
        <w:t>址：</w:t>
      </w:r>
      <w:r w:rsidR="009938F2" w:rsidRPr="00D80836">
        <w:rPr>
          <w:rFonts w:ascii="微軟正黑體" w:eastAsia="微軟正黑體" w:hAnsi="微軟正黑體"/>
          <w:sz w:val="36"/>
          <w:szCs w:val="36"/>
        </w:rPr>
        <w:t xml:space="preserve"> </w:t>
      </w:r>
    </w:p>
    <w:p w14:paraId="1B816A32" w14:textId="53088CCA" w:rsidR="00D80836" w:rsidRDefault="00D80836" w:rsidP="00D80836">
      <w:pPr>
        <w:spacing w:line="500" w:lineRule="exact"/>
        <w:rPr>
          <w:rFonts w:ascii="微軟正黑體" w:eastAsia="微軟正黑體" w:hAnsi="微軟正黑體"/>
          <w:sz w:val="44"/>
          <w:szCs w:val="44"/>
        </w:rPr>
      </w:pPr>
    </w:p>
    <w:p w14:paraId="544CAB4B" w14:textId="10356F47" w:rsidR="00D80836" w:rsidRDefault="00D80836" w:rsidP="00D80836">
      <w:pPr>
        <w:spacing w:line="500" w:lineRule="exact"/>
        <w:rPr>
          <w:rFonts w:ascii="微軟正黑體" w:eastAsia="微軟正黑體" w:hAnsi="微軟正黑體"/>
          <w:sz w:val="44"/>
          <w:szCs w:val="44"/>
        </w:rPr>
      </w:pPr>
    </w:p>
    <w:p w14:paraId="6CFAA03A" w14:textId="65E1BC11" w:rsidR="00D80836" w:rsidRDefault="00D80836" w:rsidP="00D80836">
      <w:pPr>
        <w:spacing w:line="500" w:lineRule="exact"/>
        <w:rPr>
          <w:rFonts w:ascii="微軟正黑體" w:eastAsia="微軟正黑體" w:hAnsi="微軟正黑體"/>
          <w:sz w:val="44"/>
          <w:szCs w:val="44"/>
        </w:rPr>
      </w:pPr>
    </w:p>
    <w:p w14:paraId="5E6A5895" w14:textId="5EA538DE" w:rsidR="00D80836" w:rsidRDefault="00D80836" w:rsidP="00D80836">
      <w:pPr>
        <w:spacing w:line="500" w:lineRule="exact"/>
        <w:rPr>
          <w:rFonts w:ascii="微軟正黑體" w:eastAsia="微軟正黑體" w:hAnsi="微軟正黑體"/>
          <w:sz w:val="44"/>
          <w:szCs w:val="44"/>
        </w:rPr>
      </w:pPr>
    </w:p>
    <w:p w14:paraId="03837C7C" w14:textId="77777777" w:rsidR="001978A2" w:rsidRDefault="001978A2" w:rsidP="00D80836">
      <w:pPr>
        <w:spacing w:line="500" w:lineRule="exact"/>
        <w:rPr>
          <w:rFonts w:ascii="微軟正黑體" w:eastAsia="微軟正黑體" w:hAnsi="微軟正黑體"/>
          <w:sz w:val="44"/>
          <w:szCs w:val="44"/>
        </w:rPr>
      </w:pPr>
    </w:p>
    <w:p w14:paraId="2CEA109F" w14:textId="5AC32FD9" w:rsidR="00D80836" w:rsidRDefault="00D80836" w:rsidP="00D80836">
      <w:pPr>
        <w:spacing w:line="500" w:lineRule="exact"/>
        <w:ind w:left="960" w:hangingChars="300" w:hanging="960"/>
        <w:jc w:val="distribute"/>
        <w:rPr>
          <w:rFonts w:ascii="微軟正黑體" w:eastAsia="微軟正黑體" w:hAnsi="微軟正黑體"/>
          <w:sz w:val="32"/>
        </w:rPr>
      </w:pPr>
      <w:r w:rsidRPr="00D80836">
        <w:rPr>
          <w:rFonts w:ascii="微軟正黑體" w:eastAsia="微軟正黑體" w:hAnsi="微軟正黑體" w:hint="eastAsia"/>
          <w:sz w:val="32"/>
        </w:rPr>
        <w:t>中華民國</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年</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月</w:t>
      </w:r>
      <w:r w:rsidR="009938F2">
        <w:rPr>
          <w:rFonts w:ascii="微軟正黑體" w:eastAsia="微軟正黑體" w:hAnsi="微軟正黑體" w:hint="eastAsia"/>
          <w:sz w:val="32"/>
        </w:rPr>
        <w:t xml:space="preserve">  </w:t>
      </w:r>
      <w:r w:rsidRPr="00D80836">
        <w:rPr>
          <w:rFonts w:ascii="微軟正黑體" w:eastAsia="微軟正黑體" w:hAnsi="微軟正黑體" w:hint="eastAsia"/>
          <w:sz w:val="32"/>
        </w:rPr>
        <w:t>日</w:t>
      </w:r>
    </w:p>
    <w:p w14:paraId="2507412D" w14:textId="5015B5BE" w:rsidR="00B113B9" w:rsidRDefault="00B113B9" w:rsidP="00D80836">
      <w:pPr>
        <w:spacing w:line="500" w:lineRule="exact"/>
        <w:ind w:left="960" w:hangingChars="300" w:hanging="960"/>
        <w:jc w:val="distribute"/>
        <w:rPr>
          <w:rFonts w:ascii="微軟正黑體" w:eastAsia="微軟正黑體" w:hAnsi="微軟正黑體"/>
          <w:sz w:val="32"/>
        </w:rPr>
      </w:pPr>
    </w:p>
    <w:p w14:paraId="6BEA1343" w14:textId="77777777" w:rsidR="00B113B9" w:rsidRPr="00B113B9" w:rsidRDefault="00B113B9" w:rsidP="00B113B9">
      <w:pPr>
        <w:spacing w:line="240" w:lineRule="exact"/>
        <w:ind w:left="960" w:hangingChars="300" w:hanging="960"/>
        <w:jc w:val="distribute"/>
        <w:rPr>
          <w:rFonts w:ascii="微軟正黑體" w:eastAsia="微軟正黑體" w:hAnsi="微軟正黑體"/>
          <w:sz w:val="32"/>
        </w:rPr>
      </w:pPr>
    </w:p>
    <w:p w14:paraId="551B8C15"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lastRenderedPageBreak/>
        <w:t>註：公職人員利益衝突迴避法相關規定如下：</w:t>
      </w:r>
    </w:p>
    <w:p w14:paraId="1CD9F3E6"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（1）第2條</w:t>
      </w:r>
    </w:p>
    <w:p w14:paraId="706E721A" w14:textId="77777777" w:rsidR="00B113B9" w:rsidRPr="00B113B9" w:rsidRDefault="00B113B9" w:rsidP="00B113B9">
      <w:pPr>
        <w:pStyle w:val="cjk"/>
        <w:snapToGrid w:val="0"/>
        <w:spacing w:before="0" w:line="240" w:lineRule="exact"/>
        <w:ind w:left="120" w:firstLine="400"/>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本法所稱公職人員，其範圍如下：</w:t>
      </w:r>
    </w:p>
    <w:p w14:paraId="581C4E7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一、總統、副總統。</w:t>
      </w:r>
    </w:p>
    <w:p w14:paraId="50FA671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二、各級政府機關（構）、公營事業總、分支機構之首長、副首長、幕僚長、副幕僚長與該等職務之人。</w:t>
      </w:r>
    </w:p>
    <w:p w14:paraId="3152E5D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三、政務人員。</w:t>
      </w:r>
    </w:p>
    <w:p w14:paraId="5447E07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四、各級公立學校、軍警院校、矯正學校校長、副校長；其設有附屬機構者，該機構之首長、副首長。</w:t>
      </w:r>
    </w:p>
    <w:p w14:paraId="647BF98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五、各級民意機關之民意代表。</w:t>
      </w:r>
    </w:p>
    <w:p w14:paraId="0320428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六、代表政府或公股出任其出資、捐助之私法人之董事、監察人與該等職務之人。</w:t>
      </w:r>
    </w:p>
    <w:p w14:paraId="07A5EFE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七、公法人之董事、監察人、首長、執行長與該等職務之人。</w:t>
      </w:r>
    </w:p>
    <w:p w14:paraId="03F0E16A"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八、政府捐助之財團法人之董事長、執行長、秘書長與該等職務之人。</w:t>
      </w:r>
    </w:p>
    <w:p w14:paraId="4B0452F9"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九、法官、檢察官、戰時軍法官、行政執行官、司法事務官及檢察事務官。</w:t>
      </w:r>
    </w:p>
    <w:p w14:paraId="7FF0033B"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十、各級軍事機關（構）及部隊上校編階以上之主官、副主官。</w:t>
      </w:r>
    </w:p>
    <w:p w14:paraId="35B8F382"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十一、其他各級政府機關（構）、公營事業機構、各級公立學校、軍警院校、矯正學校及附屬機構辦理工務、建築管理、城鄉計畫、政風、會計、審計、採購業務之主管人員。</w:t>
      </w:r>
    </w:p>
    <w:p w14:paraId="13628C7C" w14:textId="77777777" w:rsidR="00B113B9" w:rsidRPr="00B113B9" w:rsidRDefault="00B113B9" w:rsidP="00B113B9">
      <w:pPr>
        <w:pStyle w:val="cjk"/>
        <w:snapToGrid w:val="0"/>
        <w:spacing w:before="0" w:line="240" w:lineRule="exact"/>
        <w:ind w:left="1132" w:hanging="56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十二、其他職務性質特殊，經行政院會同主管府、院核定適用本法之人員。</w:t>
      </w:r>
    </w:p>
    <w:p w14:paraId="46B424B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依法代理執行前項公職人員職務之人員，於執行該職務期間亦屬本法之公職人員。</w:t>
      </w:r>
    </w:p>
    <w:p w14:paraId="07F299F8"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（2）第3條</w:t>
      </w:r>
    </w:p>
    <w:p w14:paraId="010965C3"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本法所定公職人員之關係人，其範圍如下：</w:t>
      </w:r>
    </w:p>
    <w:p w14:paraId="609192D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一、公職人員之配偶或共同生活之家屬。</w:t>
      </w:r>
    </w:p>
    <w:p w14:paraId="4BBA9034"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二、公職人員之二親等以內親屬。</w:t>
      </w:r>
    </w:p>
    <w:p w14:paraId="4F3B01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三、公職人員或其配偶信託財產之受託人。但依法辦理強制信託時，不在此限。</w:t>
      </w:r>
    </w:p>
    <w:p w14:paraId="25AB8603"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14:paraId="4040D670"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五、經公職人員進用之機要人員。</w:t>
      </w:r>
    </w:p>
    <w:p w14:paraId="126F6D1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六、各級民意代表之助理。</w:t>
      </w:r>
    </w:p>
    <w:p w14:paraId="57B9D6F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前項第六款所稱之助理指各級民意代表之公費助理、其加入助理工會之助理及其他受其指揮監督之助理。</w:t>
      </w:r>
    </w:p>
    <w:p w14:paraId="0F797F81"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（3）第14條</w:t>
      </w:r>
    </w:p>
    <w:p w14:paraId="431D384D"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公職人員或其關係人，不得與公職人員服務或受其監督之機關團體為補助、買賣、租賃、承攬或其他具有對價之交易行為。但有下列情形之一者，不在此限：</w:t>
      </w:r>
    </w:p>
    <w:p w14:paraId="5305C3E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一、依政府採購法以公告程序或同法第一百零五條辦理之採購。</w:t>
      </w:r>
    </w:p>
    <w:p w14:paraId="1F395E45"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二、依法令規定經由公平競爭方式，以公告程序辦理之採購、標售、標租或招標設定用益物權。</w:t>
      </w:r>
    </w:p>
    <w:p w14:paraId="76E23F60"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三、基於法定身分依法令規定申請之補助；或對公職人員之關係人依法令規定以公開公平方式辦理之補助，或禁止其補助反不利於公共利益且經補助法令主管機關核定同意之補助。</w:t>
      </w:r>
    </w:p>
    <w:p w14:paraId="60A63C8F"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四、交易標的為公職人員服務或受其監督之機關團體所提供，並以公定價格交易。</w:t>
      </w:r>
    </w:p>
    <w:p w14:paraId="646E2F5C" w14:textId="77777777" w:rsidR="00B113B9" w:rsidRPr="00B113B9" w:rsidRDefault="00B113B9" w:rsidP="00B113B9">
      <w:pPr>
        <w:pStyle w:val="cjk"/>
        <w:snapToGrid w:val="0"/>
        <w:spacing w:before="0" w:line="240" w:lineRule="exact"/>
        <w:ind w:left="990" w:hanging="426"/>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五、公營事業機構執行國家建設、公共政策或為公益用途申請承租、承購、委託經營、改良利用國有非公用不動產。</w:t>
      </w:r>
    </w:p>
    <w:p w14:paraId="721BCE7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六、一定金額以下之補助及交易。</w:t>
      </w:r>
    </w:p>
    <w:p w14:paraId="2FCC703E"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0FAB93D"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前項公開應利用電信網路或其他方式供公眾線上查詢。</w:t>
      </w:r>
    </w:p>
    <w:p w14:paraId="3DA1344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第一項但書第六款之一定金額，由行政院會同監察院定之。</w:t>
      </w:r>
    </w:p>
    <w:p w14:paraId="6C5F3679" w14:textId="77777777" w:rsidR="00B113B9" w:rsidRPr="00B113B9" w:rsidRDefault="00B113B9" w:rsidP="00B113B9">
      <w:pPr>
        <w:pStyle w:val="cjk"/>
        <w:snapToGrid w:val="0"/>
        <w:spacing w:before="0" w:line="240" w:lineRule="exact"/>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（4）第18條</w:t>
      </w:r>
    </w:p>
    <w:p w14:paraId="1BB9A005" w14:textId="77777777" w:rsidR="00B113B9" w:rsidRPr="00B113B9" w:rsidRDefault="00B113B9" w:rsidP="00B113B9">
      <w:pPr>
        <w:pStyle w:val="cjk"/>
        <w:snapToGrid w:val="0"/>
        <w:spacing w:before="0" w:line="240" w:lineRule="exact"/>
        <w:ind w:left="567" w:hanging="5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違反第十四條第一項規定者，依下列規定處罰：</w:t>
      </w:r>
    </w:p>
    <w:p w14:paraId="3B3C8E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一、交易或補助金額未達新臺幣十萬元者，處新臺幣一萬元以上五萬元以下罰鍰。</w:t>
      </w:r>
    </w:p>
    <w:p w14:paraId="1D27FEB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二、交易或補助金額新臺幣十萬元以上未達一百萬元者，處新臺幣六萬元以上五十萬元以下罰鍰。</w:t>
      </w:r>
    </w:p>
    <w:p w14:paraId="22637133"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三、交易或補助金額新臺幣一百萬元以上未達一千萬元者，處新臺幣六十萬元以上五百萬元以下罰鍰。</w:t>
      </w:r>
    </w:p>
    <w:p w14:paraId="5BFA6647"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四、交易或補助金額新臺幣一千萬元以上者，處新臺幣六百萬元以上該交易金額以下罰鍰。</w:t>
      </w:r>
    </w:p>
    <w:p w14:paraId="303286D6" w14:textId="77777777"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前項交易金額依契約所明定或可得確定之價格定之。但結算後之金額高於該價格者，依結算金額。</w:t>
      </w:r>
    </w:p>
    <w:p w14:paraId="23AEA6AF" w14:textId="0DF1D7FF" w:rsidR="00B113B9" w:rsidRPr="00B113B9" w:rsidRDefault="00B113B9" w:rsidP="00B113B9">
      <w:pPr>
        <w:pStyle w:val="cjk"/>
        <w:snapToGrid w:val="0"/>
        <w:spacing w:before="0" w:line="240" w:lineRule="exact"/>
        <w:ind w:left="567"/>
        <w:rPr>
          <w:rFonts w:ascii="微軟正黑體" w:eastAsia="微軟正黑體" w:hAnsi="微軟正黑體"/>
          <w:b w:val="0"/>
          <w:bCs w:val="0"/>
          <w:sz w:val="20"/>
          <w:szCs w:val="20"/>
        </w:rPr>
      </w:pPr>
      <w:r w:rsidRPr="00B113B9">
        <w:rPr>
          <w:rFonts w:ascii="微軟正黑體" w:eastAsia="微軟正黑體" w:hAnsi="微軟正黑體"/>
          <w:b w:val="0"/>
          <w:bCs w:val="0"/>
          <w:sz w:val="20"/>
          <w:szCs w:val="20"/>
        </w:rPr>
        <w:t>違反第十四條第二項規定者，處新臺幣五萬元以上五十萬元以下罰鍰，並得按次處罰。</w:t>
      </w:r>
    </w:p>
    <w:sectPr w:rsidR="00B113B9" w:rsidRPr="00B113B9" w:rsidSect="001978A2">
      <w:footerReference w:type="default" r:id="rId6"/>
      <w:pgSz w:w="11900" w:h="16840"/>
      <w:pgMar w:top="993" w:right="985" w:bottom="2835" w:left="85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B40C6" w14:textId="77777777" w:rsidR="000A0D7F" w:rsidRDefault="000A0D7F" w:rsidP="00AC57B7">
      <w:r>
        <w:separator/>
      </w:r>
    </w:p>
  </w:endnote>
  <w:endnote w:type="continuationSeparator" w:id="0">
    <w:p w14:paraId="266630AA" w14:textId="77777777" w:rsidR="000A0D7F" w:rsidRDefault="000A0D7F" w:rsidP="00AC5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88"/>
    <w:family w:val="script"/>
    <w:pitch w:val="fixed"/>
    <w:sig w:usb0="00000003" w:usb1="080E0000" w:usb2="00000016" w:usb3="00000000" w:csb0="00100001" w:csb1="00000000"/>
  </w:font>
  <w:font w:name="新細明體, PMingLiU">
    <w:altName w:val="新細明體"/>
    <w:panose1 w:val="020B0604020202020204"/>
    <w:charset w:val="00"/>
    <w:family w:val="roman"/>
    <w:pitch w:val="variable"/>
  </w:font>
  <w:font w:name="微軟正黑體">
    <w:altName w:val="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A05C" w14:textId="245BBEA4" w:rsidR="00077AB4" w:rsidRDefault="00077AB4">
    <w:pPr>
      <w:pStyle w:val="a5"/>
    </w:pPr>
    <w:r>
      <w:rPr>
        <w:noProof/>
      </w:rPr>
      <w:drawing>
        <wp:anchor distT="0" distB="0" distL="114300" distR="114300" simplePos="0" relativeHeight="251658240" behindDoc="1" locked="0" layoutInCell="1" allowOverlap="1" wp14:anchorId="7C0302C3" wp14:editId="5079E503">
          <wp:simplePos x="0" y="0"/>
          <wp:positionH relativeFrom="column">
            <wp:posOffset>-540031</wp:posOffset>
          </wp:positionH>
          <wp:positionV relativeFrom="paragraph">
            <wp:posOffset>-1025525</wp:posOffset>
          </wp:positionV>
          <wp:extent cx="7549132" cy="1786354"/>
          <wp:effectExtent l="0" t="0" r="0" b="4445"/>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
                    <a:extLst>
                      <a:ext uri="{28A0092B-C50C-407E-A947-70E740481C1C}">
                        <a14:useLocalDpi xmlns:a14="http://schemas.microsoft.com/office/drawing/2010/main" val="0"/>
                      </a:ext>
                    </a:extLst>
                  </a:blip>
                  <a:stretch>
                    <a:fillRect/>
                  </a:stretch>
                </pic:blipFill>
                <pic:spPr>
                  <a:xfrm>
                    <a:off x="0" y="0"/>
                    <a:ext cx="7549132" cy="17863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6AAB" w14:textId="77777777" w:rsidR="000A0D7F" w:rsidRDefault="000A0D7F" w:rsidP="00AC57B7">
      <w:r>
        <w:separator/>
      </w:r>
    </w:p>
  </w:footnote>
  <w:footnote w:type="continuationSeparator" w:id="0">
    <w:p w14:paraId="33D043A8" w14:textId="77777777" w:rsidR="000A0D7F" w:rsidRDefault="000A0D7F" w:rsidP="00AC57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7B7"/>
    <w:rsid w:val="00007F75"/>
    <w:rsid w:val="00016D16"/>
    <w:rsid w:val="00077AB4"/>
    <w:rsid w:val="000A0D7F"/>
    <w:rsid w:val="000B5932"/>
    <w:rsid w:val="00115825"/>
    <w:rsid w:val="00120B92"/>
    <w:rsid w:val="001627D7"/>
    <w:rsid w:val="001978A2"/>
    <w:rsid w:val="0022768B"/>
    <w:rsid w:val="002571CD"/>
    <w:rsid w:val="00282511"/>
    <w:rsid w:val="00342148"/>
    <w:rsid w:val="00350A62"/>
    <w:rsid w:val="00403EB7"/>
    <w:rsid w:val="00412EBE"/>
    <w:rsid w:val="004D100F"/>
    <w:rsid w:val="004F45AF"/>
    <w:rsid w:val="00577742"/>
    <w:rsid w:val="0058512D"/>
    <w:rsid w:val="005922BE"/>
    <w:rsid w:val="00603354"/>
    <w:rsid w:val="006A73EB"/>
    <w:rsid w:val="00762D89"/>
    <w:rsid w:val="00785667"/>
    <w:rsid w:val="007A6FDD"/>
    <w:rsid w:val="007F2291"/>
    <w:rsid w:val="008D3199"/>
    <w:rsid w:val="009938F2"/>
    <w:rsid w:val="009A2502"/>
    <w:rsid w:val="00A05D89"/>
    <w:rsid w:val="00A259C1"/>
    <w:rsid w:val="00A422FE"/>
    <w:rsid w:val="00A43236"/>
    <w:rsid w:val="00A8063D"/>
    <w:rsid w:val="00AC57B7"/>
    <w:rsid w:val="00AF7191"/>
    <w:rsid w:val="00B113B9"/>
    <w:rsid w:val="00B50C0D"/>
    <w:rsid w:val="00B77E03"/>
    <w:rsid w:val="00BD093D"/>
    <w:rsid w:val="00C069CD"/>
    <w:rsid w:val="00CF737F"/>
    <w:rsid w:val="00D458AC"/>
    <w:rsid w:val="00D80836"/>
    <w:rsid w:val="00D8408C"/>
    <w:rsid w:val="00DF2E06"/>
    <w:rsid w:val="00E319B9"/>
    <w:rsid w:val="00E82795"/>
    <w:rsid w:val="00EB57B9"/>
    <w:rsid w:val="00EF7EC1"/>
    <w:rsid w:val="00F252A3"/>
    <w:rsid w:val="00F341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AC36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57B7"/>
    <w:pPr>
      <w:tabs>
        <w:tab w:val="center" w:pos="4153"/>
        <w:tab w:val="right" w:pos="8306"/>
      </w:tabs>
      <w:snapToGrid w:val="0"/>
    </w:pPr>
    <w:rPr>
      <w:sz w:val="20"/>
      <w:szCs w:val="20"/>
    </w:rPr>
  </w:style>
  <w:style w:type="character" w:customStyle="1" w:styleId="a4">
    <w:name w:val="頁首 字元"/>
    <w:basedOn w:val="a0"/>
    <w:link w:val="a3"/>
    <w:uiPriority w:val="99"/>
    <w:rsid w:val="00AC57B7"/>
    <w:rPr>
      <w:sz w:val="20"/>
      <w:szCs w:val="20"/>
    </w:rPr>
  </w:style>
  <w:style w:type="paragraph" w:styleId="a5">
    <w:name w:val="footer"/>
    <w:basedOn w:val="a"/>
    <w:link w:val="a6"/>
    <w:uiPriority w:val="99"/>
    <w:unhideWhenUsed/>
    <w:rsid w:val="00AC57B7"/>
    <w:pPr>
      <w:tabs>
        <w:tab w:val="center" w:pos="4153"/>
        <w:tab w:val="right" w:pos="8306"/>
      </w:tabs>
      <w:snapToGrid w:val="0"/>
    </w:pPr>
    <w:rPr>
      <w:sz w:val="20"/>
      <w:szCs w:val="20"/>
    </w:rPr>
  </w:style>
  <w:style w:type="character" w:customStyle="1" w:styleId="a6">
    <w:name w:val="頁尾 字元"/>
    <w:basedOn w:val="a0"/>
    <w:link w:val="a5"/>
    <w:uiPriority w:val="99"/>
    <w:rsid w:val="00AC57B7"/>
    <w:rPr>
      <w:sz w:val="20"/>
      <w:szCs w:val="20"/>
    </w:rPr>
  </w:style>
  <w:style w:type="paragraph" w:styleId="a7">
    <w:name w:val="Date"/>
    <w:basedOn w:val="a"/>
    <w:next w:val="a"/>
    <w:link w:val="a8"/>
    <w:uiPriority w:val="99"/>
    <w:semiHidden/>
    <w:unhideWhenUsed/>
    <w:rsid w:val="00B50C0D"/>
    <w:pPr>
      <w:jc w:val="right"/>
    </w:pPr>
  </w:style>
  <w:style w:type="character" w:customStyle="1" w:styleId="a8">
    <w:name w:val="日期 字元"/>
    <w:basedOn w:val="a0"/>
    <w:link w:val="a7"/>
    <w:uiPriority w:val="99"/>
    <w:semiHidden/>
    <w:rsid w:val="00B50C0D"/>
  </w:style>
  <w:style w:type="paragraph" w:customStyle="1" w:styleId="cjk">
    <w:name w:val="cjk"/>
    <w:basedOn w:val="a"/>
    <w:rsid w:val="00B113B9"/>
    <w:pPr>
      <w:widowControl/>
      <w:suppressAutoHyphens/>
      <w:autoSpaceDN w:val="0"/>
      <w:spacing w:before="100"/>
      <w:textAlignment w:val="baseline"/>
    </w:pPr>
    <w:rPr>
      <w:rFonts w:ascii="標楷體" w:eastAsia="標楷體" w:hAnsi="標楷體" w:cs="新細明體, PMingLiU"/>
      <w:b/>
      <w:bCs/>
      <w:color w:val="000000"/>
      <w:kern w:val="3"/>
    </w:rPr>
  </w:style>
  <w:style w:type="character" w:styleId="a9">
    <w:name w:val="annotation reference"/>
    <w:basedOn w:val="a0"/>
    <w:uiPriority w:val="99"/>
    <w:semiHidden/>
    <w:unhideWhenUsed/>
    <w:rsid w:val="00A259C1"/>
    <w:rPr>
      <w:sz w:val="18"/>
      <w:szCs w:val="18"/>
    </w:rPr>
  </w:style>
  <w:style w:type="paragraph" w:styleId="aa">
    <w:name w:val="annotation text"/>
    <w:basedOn w:val="a"/>
    <w:link w:val="ab"/>
    <w:uiPriority w:val="99"/>
    <w:semiHidden/>
    <w:unhideWhenUsed/>
    <w:rsid w:val="00A259C1"/>
  </w:style>
  <w:style w:type="character" w:customStyle="1" w:styleId="ab">
    <w:name w:val="註解文字 字元"/>
    <w:basedOn w:val="a0"/>
    <w:link w:val="aa"/>
    <w:uiPriority w:val="99"/>
    <w:semiHidden/>
    <w:rsid w:val="00A259C1"/>
  </w:style>
  <w:style w:type="paragraph" w:styleId="ac">
    <w:name w:val="annotation subject"/>
    <w:basedOn w:val="aa"/>
    <w:next w:val="aa"/>
    <w:link w:val="ad"/>
    <w:uiPriority w:val="99"/>
    <w:semiHidden/>
    <w:unhideWhenUsed/>
    <w:rsid w:val="00A259C1"/>
    <w:rPr>
      <w:b/>
      <w:bCs/>
    </w:rPr>
  </w:style>
  <w:style w:type="character" w:customStyle="1" w:styleId="ad">
    <w:name w:val="註解主旨 字元"/>
    <w:basedOn w:val="ab"/>
    <w:link w:val="ac"/>
    <w:uiPriority w:val="99"/>
    <w:semiHidden/>
    <w:rsid w:val="00A259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Microsoft Office User</cp:lastModifiedBy>
  <cp:revision>2</cp:revision>
  <dcterms:created xsi:type="dcterms:W3CDTF">2026-08-04T05:34:00Z</dcterms:created>
  <dcterms:modified xsi:type="dcterms:W3CDTF">2026-08-04T05:34:00Z</dcterms:modified>
</cp:coreProperties>
</file>